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3" w:rsidRPr="003518A8" w:rsidRDefault="00CF1133" w:rsidP="00CF1133">
      <w:pPr>
        <w:ind w:left="-710" w:firstLine="695"/>
        <w:rPr>
          <w:b/>
          <w:bCs/>
          <w:sz w:val="22"/>
          <w:szCs w:val="22"/>
        </w:rPr>
      </w:pPr>
    </w:p>
    <w:p w:rsidR="00CF1133" w:rsidRPr="00F62A26" w:rsidRDefault="00BE3AA8" w:rsidP="00CF1133">
      <w:pPr>
        <w:ind w:left="-710" w:firstLine="695"/>
        <w:rPr>
          <w:b/>
          <w:bCs/>
        </w:rPr>
      </w:pPr>
      <w:r w:rsidRPr="00F62A26">
        <w:rPr>
          <w:b/>
          <w:bCs/>
        </w:rPr>
        <w:t>LEP – Committee</w:t>
      </w:r>
    </w:p>
    <w:p w:rsidR="00F62A26" w:rsidRDefault="00F62A26" w:rsidP="00F62A26">
      <w:pPr>
        <w:rPr>
          <w:b/>
          <w:bCs/>
        </w:rPr>
      </w:pPr>
    </w:p>
    <w:p w:rsidR="00F62A26" w:rsidRPr="00F62A26" w:rsidRDefault="00F62A26" w:rsidP="00F62A26">
      <w:pPr>
        <w:rPr>
          <w:rFonts w:eastAsia="Times New Roman" w:cs="Times New Roman"/>
          <w:b/>
          <w:color w:val="auto"/>
        </w:rPr>
      </w:pPr>
      <w:r w:rsidRPr="00F62A26">
        <w:rPr>
          <w:b/>
          <w:bCs/>
        </w:rPr>
        <w:t>Growth Deal Management Board</w:t>
      </w:r>
    </w:p>
    <w:p w:rsidR="00CF1133" w:rsidRPr="00F62A26" w:rsidRDefault="00CF1133" w:rsidP="00CF1133">
      <w:pPr>
        <w:spacing w:after="0" w:line="256" w:lineRule="auto"/>
        <w:ind w:left="0" w:firstLine="0"/>
        <w:rPr>
          <w:b/>
          <w:bCs/>
        </w:rPr>
      </w:pPr>
    </w:p>
    <w:p w:rsidR="00BC4466" w:rsidRPr="00F62A26" w:rsidRDefault="00BC4466" w:rsidP="00CF1133">
      <w:pPr>
        <w:spacing w:after="0" w:line="256" w:lineRule="auto"/>
        <w:ind w:left="0" w:firstLine="0"/>
        <w:rPr>
          <w:b/>
          <w:bCs/>
        </w:rPr>
      </w:pPr>
      <w:r w:rsidRPr="00F62A26">
        <w:rPr>
          <w:b/>
        </w:rPr>
        <w:t xml:space="preserve">Private and Confidential: </w:t>
      </w:r>
      <w:r w:rsidR="003518A8" w:rsidRPr="00F62A26">
        <w:rPr>
          <w:b/>
        </w:rPr>
        <w:t>No</w:t>
      </w:r>
    </w:p>
    <w:p w:rsidR="00F62A26" w:rsidRDefault="00F62A26" w:rsidP="00F62A26">
      <w:pPr>
        <w:rPr>
          <w:b/>
          <w:bCs/>
        </w:rPr>
      </w:pPr>
    </w:p>
    <w:p w:rsidR="00A3358A" w:rsidRPr="00F62A26" w:rsidRDefault="00B75823" w:rsidP="00A3358A">
      <w:r w:rsidRPr="00F62A26">
        <w:t xml:space="preserve">Wednesday 21 October 2015 </w:t>
      </w:r>
    </w:p>
    <w:p w:rsidR="00A3358A" w:rsidRPr="00F62A26" w:rsidRDefault="00A3358A" w:rsidP="00A3358A"/>
    <w:p w:rsidR="00D7480F" w:rsidRPr="00F62A26" w:rsidRDefault="003A05D1" w:rsidP="003A05D1">
      <w:pPr>
        <w:spacing w:after="0" w:line="256" w:lineRule="auto"/>
        <w:ind w:left="0" w:firstLine="0"/>
      </w:pPr>
      <w:r w:rsidRPr="00F62A26">
        <w:rPr>
          <w:b/>
        </w:rPr>
        <w:t>Growth Deal Projects – Maximising the Social Value Outcomes</w:t>
      </w:r>
    </w:p>
    <w:p w:rsidR="00D7480F" w:rsidRPr="00F62A26" w:rsidRDefault="00F62A26" w:rsidP="00CF1133">
      <w:pPr>
        <w:spacing w:after="0" w:line="256" w:lineRule="auto"/>
        <w:ind w:left="0" w:firstLine="0"/>
      </w:pPr>
      <w:r>
        <w:tab/>
      </w:r>
      <w:r>
        <w:tab/>
      </w:r>
      <w:r>
        <w:tab/>
      </w:r>
    </w:p>
    <w:p w:rsidR="00F62A26" w:rsidRDefault="00F41096" w:rsidP="00F41096">
      <w:pPr>
        <w:ind w:right="-873"/>
        <w:rPr>
          <w:b/>
        </w:rPr>
      </w:pPr>
      <w:r w:rsidRPr="00F62A26">
        <w:rPr>
          <w:b/>
        </w:rPr>
        <w:t>Report Author</w:t>
      </w:r>
      <w:r w:rsidR="00F62A26">
        <w:rPr>
          <w:b/>
        </w:rPr>
        <w:t>s</w:t>
      </w:r>
      <w:r w:rsidRPr="00F62A26">
        <w:rPr>
          <w:b/>
        </w:rPr>
        <w:t>:</w:t>
      </w:r>
    </w:p>
    <w:p w:rsidR="00F62A26" w:rsidRDefault="00F44106" w:rsidP="00F41096">
      <w:pPr>
        <w:ind w:right="-873"/>
        <w:rPr>
          <w:rStyle w:val="Hyperlink"/>
          <w:b/>
        </w:rPr>
      </w:pPr>
      <w:r w:rsidRPr="00F62A26">
        <w:rPr>
          <w:b/>
        </w:rPr>
        <w:t xml:space="preserve">Graham </w:t>
      </w:r>
      <w:proofErr w:type="spellStart"/>
      <w:r w:rsidRPr="00F62A26">
        <w:rPr>
          <w:b/>
        </w:rPr>
        <w:t>Cowley</w:t>
      </w:r>
      <w:proofErr w:type="spellEnd"/>
      <w:r w:rsidRPr="00F62A26">
        <w:rPr>
          <w:b/>
        </w:rPr>
        <w:t xml:space="preserve">, LEP </w:t>
      </w:r>
      <w:proofErr w:type="gramStart"/>
      <w:r w:rsidRPr="00F62A26">
        <w:rPr>
          <w:b/>
        </w:rPr>
        <w:t>Director</w:t>
      </w:r>
      <w:r w:rsidR="00F62A26">
        <w:rPr>
          <w:b/>
        </w:rPr>
        <w:t xml:space="preserve">  </w:t>
      </w:r>
      <w:proofErr w:type="gramEnd"/>
      <w:r w:rsidR="00B852B2" w:rsidRPr="00F62A26">
        <w:fldChar w:fldCharType="begin"/>
      </w:r>
      <w:r w:rsidR="00B852B2" w:rsidRPr="00F62A26">
        <w:instrText xml:space="preserve"> HYPERLINK "mailto:Grahamcowley15@gmail.com" </w:instrText>
      </w:r>
      <w:r w:rsidR="00B852B2" w:rsidRPr="00F62A26">
        <w:fldChar w:fldCharType="separate"/>
      </w:r>
      <w:r w:rsidRPr="00F62A26">
        <w:rPr>
          <w:rStyle w:val="Hyperlink"/>
          <w:b/>
        </w:rPr>
        <w:t>Grahamcowley15@gmail.com</w:t>
      </w:r>
      <w:r w:rsidR="00B852B2" w:rsidRPr="00F62A26">
        <w:rPr>
          <w:rStyle w:val="Hyperlink"/>
          <w:b/>
        </w:rPr>
        <w:fldChar w:fldCharType="end"/>
      </w:r>
    </w:p>
    <w:p w:rsidR="00F62A26" w:rsidRDefault="00F44106" w:rsidP="00F41096">
      <w:pPr>
        <w:ind w:right="-873"/>
        <w:rPr>
          <w:b/>
        </w:rPr>
      </w:pPr>
      <w:r w:rsidRPr="00F62A26">
        <w:rPr>
          <w:b/>
        </w:rPr>
        <w:t>Dr Michelle Lawty-Jones, Director of the Lancashire Skills Hub</w:t>
      </w:r>
    </w:p>
    <w:p w:rsidR="00F41096" w:rsidRPr="00F62A26" w:rsidRDefault="008303B3" w:rsidP="00F41096">
      <w:pPr>
        <w:ind w:right="-873"/>
        <w:rPr>
          <w:b/>
        </w:rPr>
      </w:pPr>
      <w:hyperlink r:id="rId8" w:history="1">
        <w:r w:rsidR="003518A8" w:rsidRPr="00F62A26">
          <w:rPr>
            <w:rStyle w:val="Hyperlink"/>
            <w:b/>
          </w:rPr>
          <w:t>Michele.lawty-jones@lancashire.gov.uk</w:t>
        </w:r>
      </w:hyperlink>
    </w:p>
    <w:p w:rsidR="00CF1133" w:rsidRPr="00F62A26" w:rsidRDefault="00CF1133" w:rsidP="00CF1133">
      <w:pPr>
        <w:spacing w:after="0" w:line="256" w:lineRule="auto"/>
        <w:ind w:left="0" w:firstLine="0"/>
        <w:rPr>
          <w:b/>
          <w:bCs/>
        </w:rPr>
      </w:pPr>
    </w:p>
    <w:p w:rsidR="00A3358A" w:rsidRPr="00F62A26" w:rsidRDefault="00A3358A" w:rsidP="00A3358A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auto"/>
        </w:rPr>
      </w:pPr>
    </w:p>
    <w:p w:rsidR="00A3358A" w:rsidRPr="00F62A26" w:rsidRDefault="00A3358A" w:rsidP="00A3358A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Times New Roman"/>
          <w:b/>
          <w:color w:val="auto"/>
        </w:rPr>
      </w:pPr>
      <w:r w:rsidRPr="00F62A26">
        <w:rPr>
          <w:rFonts w:ascii="Arial" w:hAnsi="Arial"/>
          <w:b/>
          <w:color w:val="auto"/>
        </w:rPr>
        <w:t>Executive Summary</w:t>
      </w:r>
    </w:p>
    <w:p w:rsidR="00A3358A" w:rsidRPr="00F62A26" w:rsidRDefault="00A3358A" w:rsidP="00A3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303B3" w:rsidRDefault="008E6AFA" w:rsidP="00F62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62A26">
        <w:t xml:space="preserve">Further to the report presented to the last meeting on </w:t>
      </w:r>
      <w:r w:rsidR="008303B3">
        <w:t xml:space="preserve">the </w:t>
      </w:r>
      <w:r w:rsidRPr="00F62A26">
        <w:t>Social Value Act 2012</w:t>
      </w:r>
      <w:r w:rsidR="003518A8" w:rsidRPr="00F62A26">
        <w:t xml:space="preserve">, it </w:t>
      </w:r>
    </w:p>
    <w:p w:rsidR="008303B3" w:rsidRDefault="008303B3" w:rsidP="00F62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62A26">
        <w:t>W</w:t>
      </w:r>
      <w:r w:rsidR="003518A8" w:rsidRPr="00F62A26">
        <w:t>as</w:t>
      </w:r>
      <w:r>
        <w:t xml:space="preserve"> </w:t>
      </w:r>
      <w:r w:rsidR="00B47354" w:rsidRPr="00F62A26">
        <w:t>resolved that further research would be undertaken with regar</w:t>
      </w:r>
      <w:r w:rsidR="005037B7" w:rsidRPr="00F62A26">
        <w:t xml:space="preserve">d to best practice </w:t>
      </w:r>
    </w:p>
    <w:p w:rsidR="003518A8" w:rsidRPr="00F62A26" w:rsidRDefault="008303B3" w:rsidP="00F62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62A26">
        <w:t>A</w:t>
      </w:r>
      <w:r w:rsidR="005037B7" w:rsidRPr="00F62A26">
        <w:t>nd</w:t>
      </w:r>
      <w:r>
        <w:t xml:space="preserve"> </w:t>
      </w:r>
      <w:bookmarkStart w:id="0" w:name="_GoBack"/>
      <w:bookmarkEnd w:id="0"/>
      <w:r w:rsidR="005037B7" w:rsidRPr="00F62A26">
        <w:t>a progress</w:t>
      </w:r>
      <w:r w:rsidR="00B47354" w:rsidRPr="00F62A26">
        <w:t xml:space="preserve"> report w</w:t>
      </w:r>
      <w:r w:rsidR="005037B7" w:rsidRPr="00F62A26">
        <w:t xml:space="preserve">ould be brought to this meeting. </w:t>
      </w:r>
    </w:p>
    <w:p w:rsidR="003518A8" w:rsidRPr="00F62A26" w:rsidRDefault="003518A8" w:rsidP="00D36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18A8" w:rsidRPr="00F62A26" w:rsidRDefault="005037B7" w:rsidP="00D36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62A26">
        <w:t>Additionall</w:t>
      </w:r>
      <w:r w:rsidR="008C58F6" w:rsidRPr="00F62A26">
        <w:t>y, a report was presented to our</w:t>
      </w:r>
      <w:r w:rsidRPr="00F62A26">
        <w:t xml:space="preserve"> last meeting on Monitoring and </w:t>
      </w:r>
    </w:p>
    <w:p w:rsidR="003518A8" w:rsidRPr="00F62A26" w:rsidRDefault="005037B7" w:rsidP="00D36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62A26">
        <w:t>Evaluation and this report seeks to</w:t>
      </w:r>
      <w:r w:rsidR="00F95887" w:rsidRPr="00F62A26">
        <w:t xml:space="preserve"> tie the 2 initiatives together to help maximise the </w:t>
      </w:r>
    </w:p>
    <w:p w:rsidR="003518A8" w:rsidRPr="00F62A26" w:rsidRDefault="00F95887" w:rsidP="00D36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62A26">
        <w:t>delivery of wider economic benefits fo</w:t>
      </w:r>
      <w:r w:rsidR="00D36182" w:rsidRPr="00F62A26">
        <w:t xml:space="preserve">r the communities of Lancashire through the </w:t>
      </w:r>
    </w:p>
    <w:p w:rsidR="003518A8" w:rsidRPr="00F62A26" w:rsidRDefault="00D36182" w:rsidP="00D36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F62A26">
        <w:t>development</w:t>
      </w:r>
      <w:proofErr w:type="gramEnd"/>
      <w:r w:rsidRPr="00F62A26">
        <w:t xml:space="preserve"> of a “Toolkit for Wider Economic and Social Benef</w:t>
      </w:r>
      <w:r w:rsidR="003518A8" w:rsidRPr="00F62A26">
        <w:t xml:space="preserve">its for Growth Deal </w:t>
      </w:r>
    </w:p>
    <w:p w:rsidR="00A3358A" w:rsidRPr="00F62A26" w:rsidRDefault="00D36182" w:rsidP="00D36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62A26">
        <w:t>Projects in Lancashire”</w:t>
      </w:r>
      <w:r w:rsidR="008C58F6" w:rsidRPr="00F62A26">
        <w:t>.</w:t>
      </w:r>
    </w:p>
    <w:p w:rsidR="003518A8" w:rsidRPr="00F62A26" w:rsidRDefault="003518A8" w:rsidP="00A3358A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auto"/>
        </w:rPr>
      </w:pPr>
    </w:p>
    <w:p w:rsidR="00A3358A" w:rsidRPr="00F62A26" w:rsidRDefault="00A3358A" w:rsidP="00A3358A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auto"/>
        </w:rPr>
      </w:pPr>
      <w:r w:rsidRPr="00F62A26">
        <w:rPr>
          <w:rFonts w:ascii="Arial" w:hAnsi="Arial"/>
          <w:b/>
          <w:color w:val="auto"/>
        </w:rPr>
        <w:t>Recommendation</w:t>
      </w:r>
      <w:r w:rsidR="00F62A26">
        <w:rPr>
          <w:rFonts w:ascii="Arial" w:hAnsi="Arial"/>
          <w:b/>
          <w:color w:val="auto"/>
        </w:rPr>
        <w:t>s</w:t>
      </w:r>
    </w:p>
    <w:p w:rsidR="003518A8" w:rsidRPr="00F62A26" w:rsidRDefault="003518A8" w:rsidP="0063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204E" w:rsidRPr="00F62A26" w:rsidRDefault="0063204E" w:rsidP="0063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62A26">
        <w:t xml:space="preserve">1.     </w:t>
      </w:r>
      <w:r w:rsidR="00FE012D" w:rsidRPr="00F62A26">
        <w:t>Th</w:t>
      </w:r>
      <w:r w:rsidR="00B852B2">
        <w:t>at th</w:t>
      </w:r>
      <w:r w:rsidR="00FE012D" w:rsidRPr="00F62A26">
        <w:t xml:space="preserve">e Monitoring and Evaluation Sub-Committee be requested to </w:t>
      </w:r>
      <w:r w:rsidRPr="00F62A26">
        <w:t>produce the Growth Deal Benefits Schedule and manage the monitoring and evaluation process as set out in section 1.3 of this report</w:t>
      </w:r>
    </w:p>
    <w:p w:rsidR="003518A8" w:rsidRPr="00F62A26" w:rsidRDefault="003518A8" w:rsidP="0063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18A8" w:rsidRDefault="0063204E" w:rsidP="0035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F62A26">
        <w:t>2.     Th</w:t>
      </w:r>
      <w:r w:rsidR="00B852B2">
        <w:t xml:space="preserve">at the </w:t>
      </w:r>
      <w:r w:rsidRPr="00F62A26">
        <w:t>“Toolkit for Wider Economic and Social Benefits for Growth Deal Projects in Lancashire” be produced in the manner set out in section 1.4 of this report</w:t>
      </w:r>
    </w:p>
    <w:p w:rsidR="00F62A26" w:rsidRPr="00F62A26" w:rsidRDefault="00F62A26" w:rsidP="0035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A3358A" w:rsidRPr="00F62A26" w:rsidRDefault="00A3358A" w:rsidP="00CF1133">
      <w:pPr>
        <w:spacing w:after="0" w:line="256" w:lineRule="auto"/>
        <w:ind w:left="0" w:firstLine="0"/>
      </w:pPr>
    </w:p>
    <w:p w:rsidR="005037B7" w:rsidRPr="00F62A26" w:rsidRDefault="005037B7" w:rsidP="00F62A26">
      <w:pPr>
        <w:pStyle w:val="ListParagraph"/>
        <w:numPr>
          <w:ilvl w:val="0"/>
          <w:numId w:val="4"/>
        </w:numPr>
        <w:ind w:left="360"/>
        <w:rPr>
          <w:b/>
        </w:rPr>
      </w:pPr>
      <w:r w:rsidRPr="00F62A26">
        <w:rPr>
          <w:b/>
        </w:rPr>
        <w:t>Background</w:t>
      </w:r>
      <w:r w:rsidR="009139A5" w:rsidRPr="00F62A26">
        <w:rPr>
          <w:b/>
        </w:rPr>
        <w:t xml:space="preserve"> and Suggested Approach</w:t>
      </w:r>
    </w:p>
    <w:p w:rsidR="005037B7" w:rsidRPr="00F62A26" w:rsidRDefault="005037B7" w:rsidP="00F62A26">
      <w:pPr>
        <w:ind w:left="0" w:firstLine="0"/>
        <w:rPr>
          <w:b/>
        </w:rPr>
      </w:pPr>
    </w:p>
    <w:p w:rsidR="00984286" w:rsidRPr="00F62A26" w:rsidRDefault="00F95887" w:rsidP="00F62A26">
      <w:pPr>
        <w:pStyle w:val="ListParagraph"/>
        <w:numPr>
          <w:ilvl w:val="1"/>
          <w:numId w:val="4"/>
        </w:numPr>
        <w:ind w:left="400"/>
      </w:pPr>
      <w:r w:rsidRPr="00F62A26">
        <w:t>The Monitoring and Evaluation Sub Committee is charged with t</w:t>
      </w:r>
      <w:r w:rsidR="00BE3BFC" w:rsidRPr="00F62A26">
        <w:t>he monitoring and evaluation of all projects in terms of:</w:t>
      </w:r>
    </w:p>
    <w:p w:rsidR="00BE3BFC" w:rsidRPr="00F62A26" w:rsidRDefault="00BE3BFC" w:rsidP="00F62A26">
      <w:pPr>
        <w:pStyle w:val="ListParagraph"/>
        <w:ind w:left="400" w:firstLine="0"/>
      </w:pPr>
    </w:p>
    <w:p w:rsidR="00BE3BFC" w:rsidRPr="00F62A26" w:rsidRDefault="00BE3BFC" w:rsidP="00F62A26">
      <w:pPr>
        <w:pStyle w:val="ListParagraph"/>
        <w:numPr>
          <w:ilvl w:val="0"/>
          <w:numId w:val="8"/>
        </w:numPr>
        <w:ind w:left="720"/>
      </w:pPr>
      <w:r w:rsidRPr="00F62A26">
        <w:t>Project outputs</w:t>
      </w:r>
    </w:p>
    <w:p w:rsidR="00BE3BFC" w:rsidRPr="00F62A26" w:rsidRDefault="00BE3BFC" w:rsidP="00F62A26">
      <w:pPr>
        <w:pStyle w:val="ListParagraph"/>
        <w:numPr>
          <w:ilvl w:val="0"/>
          <w:numId w:val="8"/>
        </w:numPr>
        <w:ind w:left="720"/>
      </w:pPr>
      <w:r w:rsidRPr="00F62A26">
        <w:t>Wider Economic Benefits (incorporating “Social Value”)</w:t>
      </w:r>
    </w:p>
    <w:p w:rsidR="00BE3BFC" w:rsidRPr="00F62A26" w:rsidRDefault="00BE3BFC" w:rsidP="00BE3BFC">
      <w:pPr>
        <w:pStyle w:val="ListParagraph"/>
        <w:ind w:firstLine="0"/>
      </w:pPr>
    </w:p>
    <w:p w:rsidR="00984286" w:rsidRPr="00F62A26" w:rsidRDefault="00984286" w:rsidP="00BE3BFC">
      <w:pPr>
        <w:pStyle w:val="ListParagraph"/>
        <w:numPr>
          <w:ilvl w:val="1"/>
          <w:numId w:val="4"/>
        </w:numPr>
      </w:pPr>
      <w:r w:rsidRPr="00F62A26">
        <w:t>The Monitoring and Evaluation Sub-Committee</w:t>
      </w:r>
      <w:r w:rsidR="009139A5" w:rsidRPr="00F62A26">
        <w:t xml:space="preserve"> intends</w:t>
      </w:r>
      <w:r w:rsidR="00BE3BFC" w:rsidRPr="00F62A26">
        <w:t xml:space="preserve"> that the monitoring of the above will be undertaken by the project sponsors, with an independent organisation currently being commissioned to undertake evaluation.</w:t>
      </w:r>
    </w:p>
    <w:p w:rsidR="00984286" w:rsidRPr="00F62A26" w:rsidRDefault="00984286" w:rsidP="00984286">
      <w:pPr>
        <w:pStyle w:val="ListParagraph"/>
        <w:ind w:left="760" w:firstLine="0"/>
      </w:pPr>
    </w:p>
    <w:p w:rsidR="009139A5" w:rsidRPr="00F62A26" w:rsidRDefault="00984286" w:rsidP="00BE3BFC">
      <w:pPr>
        <w:pStyle w:val="ListParagraph"/>
        <w:numPr>
          <w:ilvl w:val="1"/>
          <w:numId w:val="4"/>
        </w:numPr>
      </w:pPr>
      <w:r w:rsidRPr="00F62A26">
        <w:t>Thus there is an opportunity to:</w:t>
      </w:r>
    </w:p>
    <w:p w:rsidR="009139A5" w:rsidRPr="00F62A26" w:rsidRDefault="009139A5" w:rsidP="009139A5">
      <w:pPr>
        <w:ind w:left="0" w:firstLine="0"/>
      </w:pPr>
    </w:p>
    <w:p w:rsidR="009139A5" w:rsidRPr="00F62A26" w:rsidRDefault="009139A5" w:rsidP="00F62A26">
      <w:pPr>
        <w:pStyle w:val="ListParagraph"/>
        <w:numPr>
          <w:ilvl w:val="0"/>
          <w:numId w:val="9"/>
        </w:numPr>
        <w:ind w:left="1120"/>
      </w:pPr>
      <w:r w:rsidRPr="00F62A26">
        <w:t>Capture the stated business case benefits for all existi</w:t>
      </w:r>
      <w:r w:rsidR="0084500A" w:rsidRPr="00F62A26">
        <w:t>ng projects in a single Growth Deal Benefits Schedule</w:t>
      </w:r>
      <w:r w:rsidRPr="00F62A26">
        <w:t xml:space="preserve"> (Monitoring and Evaluation Sub-Committee)</w:t>
      </w:r>
    </w:p>
    <w:p w:rsidR="003518A8" w:rsidRPr="00F62A26" w:rsidRDefault="003518A8" w:rsidP="00F62A26">
      <w:pPr>
        <w:pStyle w:val="ListParagraph"/>
        <w:ind w:left="1120" w:firstLine="0"/>
      </w:pPr>
    </w:p>
    <w:p w:rsidR="009139A5" w:rsidRPr="00F62A26" w:rsidRDefault="009139A5" w:rsidP="00F62A26">
      <w:pPr>
        <w:pStyle w:val="ListParagraph"/>
        <w:numPr>
          <w:ilvl w:val="0"/>
          <w:numId w:val="9"/>
        </w:numPr>
        <w:ind w:left="1120"/>
      </w:pPr>
      <w:r w:rsidRPr="00F62A26">
        <w:t>Ensure the project sponsors are required to monitor all outcomes including the wider economic benefits (Monitoring and Evaluation Sub-Committee)</w:t>
      </w:r>
    </w:p>
    <w:p w:rsidR="003518A8" w:rsidRPr="00F62A26" w:rsidRDefault="003518A8" w:rsidP="00F62A26">
      <w:pPr>
        <w:ind w:left="0" w:firstLine="0"/>
      </w:pPr>
    </w:p>
    <w:p w:rsidR="009139A5" w:rsidRPr="00F62A26" w:rsidRDefault="009139A5" w:rsidP="00F62A26">
      <w:pPr>
        <w:pStyle w:val="ListParagraph"/>
        <w:numPr>
          <w:ilvl w:val="0"/>
          <w:numId w:val="9"/>
        </w:numPr>
        <w:ind w:left="1120"/>
      </w:pPr>
      <w:r w:rsidRPr="00F62A26">
        <w:t>Ensure that the evaluation commission has a similarly broad specification (Monitoring and Evaluation Sub-Committee)</w:t>
      </w:r>
    </w:p>
    <w:p w:rsidR="003518A8" w:rsidRPr="00F62A26" w:rsidRDefault="003518A8" w:rsidP="00F62A26">
      <w:pPr>
        <w:pStyle w:val="ListParagraph"/>
        <w:ind w:left="1120" w:firstLine="0"/>
      </w:pPr>
    </w:p>
    <w:p w:rsidR="009139A5" w:rsidRPr="00F62A26" w:rsidRDefault="009139A5" w:rsidP="00F62A26">
      <w:pPr>
        <w:pStyle w:val="ListParagraph"/>
        <w:numPr>
          <w:ilvl w:val="0"/>
          <w:numId w:val="9"/>
        </w:numPr>
        <w:ind w:left="1120"/>
      </w:pPr>
      <w:r w:rsidRPr="00F62A26">
        <w:t xml:space="preserve">Require a short “benefits realisation plan” for all projects (format as per </w:t>
      </w:r>
      <w:proofErr w:type="spellStart"/>
      <w:r w:rsidRPr="00F62A26">
        <w:t>DfT</w:t>
      </w:r>
      <w:proofErr w:type="spellEnd"/>
      <w:r w:rsidRPr="00F62A26">
        <w:t xml:space="preserve"> projects?)</w:t>
      </w:r>
    </w:p>
    <w:p w:rsidR="009139A5" w:rsidRPr="00F62A26" w:rsidRDefault="009139A5" w:rsidP="009139A5">
      <w:pPr>
        <w:ind w:left="0" w:firstLine="0"/>
      </w:pPr>
    </w:p>
    <w:p w:rsidR="00FE012D" w:rsidRPr="00F62A26" w:rsidRDefault="009139A5" w:rsidP="0084500A">
      <w:pPr>
        <w:pStyle w:val="ListParagraph"/>
        <w:numPr>
          <w:ilvl w:val="1"/>
          <w:numId w:val="4"/>
        </w:numPr>
      </w:pPr>
      <w:r w:rsidRPr="00F62A26">
        <w:t xml:space="preserve">The above process will as far as possible guarantee the delivery of those project benefits and wider benefits that have already been identified in the project business cases. </w:t>
      </w:r>
      <w:r w:rsidR="0084500A" w:rsidRPr="00F62A26">
        <w:t>But there remains an opportunity to identify additional benefits through sharing best practice with existing and new projects. To capture this best practice</w:t>
      </w:r>
      <w:r w:rsidR="002154A9" w:rsidRPr="00F62A26">
        <w:t xml:space="preserve"> as suggested in the previous report</w:t>
      </w:r>
      <w:r w:rsidR="0084500A" w:rsidRPr="00F62A26">
        <w:t>, it is proposed that a “</w:t>
      </w:r>
      <w:r w:rsidR="002154A9" w:rsidRPr="00F62A26">
        <w:t>Toolkit</w:t>
      </w:r>
      <w:r w:rsidR="0084500A" w:rsidRPr="00F62A26">
        <w:t xml:space="preserve"> for Wider Economic and Social Benef</w:t>
      </w:r>
      <w:r w:rsidR="002154A9" w:rsidRPr="00F62A26">
        <w:t>its for Growth Deal Projects in Lancashire</w:t>
      </w:r>
      <w:r w:rsidR="0084500A" w:rsidRPr="00F62A26">
        <w:t>” be produced comprising:</w:t>
      </w:r>
    </w:p>
    <w:p w:rsidR="00A93E8B" w:rsidRPr="00F62A26" w:rsidRDefault="00A93E8B" w:rsidP="00FE012D">
      <w:pPr>
        <w:pStyle w:val="ListParagraph"/>
        <w:ind w:left="760" w:firstLine="0"/>
      </w:pPr>
    </w:p>
    <w:p w:rsidR="00A93E8B" w:rsidRPr="00F62A26" w:rsidRDefault="00A93E8B" w:rsidP="00B852B2">
      <w:pPr>
        <w:pStyle w:val="ListParagraph"/>
        <w:numPr>
          <w:ilvl w:val="0"/>
          <w:numId w:val="11"/>
        </w:numPr>
        <w:ind w:left="1120"/>
      </w:pPr>
      <w:r w:rsidRPr="00F62A26">
        <w:t>Best practice identified from our Growth Deal Benefits Schedule with the Monitoring and Evaluation Sub-Committee taking the lead</w:t>
      </w:r>
    </w:p>
    <w:p w:rsidR="003518A8" w:rsidRPr="00F62A26" w:rsidRDefault="003518A8" w:rsidP="00B852B2">
      <w:pPr>
        <w:pStyle w:val="ListParagraph"/>
        <w:ind w:left="1120" w:firstLine="0"/>
      </w:pPr>
    </w:p>
    <w:p w:rsidR="00A93E8B" w:rsidRPr="00F62A26" w:rsidRDefault="00A93E8B" w:rsidP="00B852B2">
      <w:pPr>
        <w:pStyle w:val="ListParagraph"/>
        <w:numPr>
          <w:ilvl w:val="0"/>
          <w:numId w:val="11"/>
        </w:numPr>
        <w:ind w:left="1120"/>
      </w:pPr>
      <w:r w:rsidRPr="00F62A26">
        <w:t>Best practice identified from existing LCC projects (</w:t>
      </w:r>
      <w:proofErr w:type="spellStart"/>
      <w:r w:rsidRPr="00F62A26">
        <w:t>eg</w:t>
      </w:r>
      <w:proofErr w:type="spellEnd"/>
      <w:r w:rsidR="00F62A26">
        <w:t>.</w:t>
      </w:r>
      <w:r w:rsidRPr="00F62A26">
        <w:t xml:space="preserve"> </w:t>
      </w:r>
      <w:proofErr w:type="spellStart"/>
      <w:r w:rsidRPr="00F62A26">
        <w:t>Heysham</w:t>
      </w:r>
      <w:proofErr w:type="spellEnd"/>
      <w:r w:rsidRPr="00F62A26">
        <w:t xml:space="preserve"> Link – over 100 apprenticeship opportunities) with Alison Moore to take the lead</w:t>
      </w:r>
    </w:p>
    <w:p w:rsidR="003518A8" w:rsidRPr="00F62A26" w:rsidRDefault="003518A8" w:rsidP="00B852B2">
      <w:pPr>
        <w:pStyle w:val="ListParagraph"/>
        <w:ind w:left="1120" w:firstLine="0"/>
      </w:pPr>
    </w:p>
    <w:p w:rsidR="00A93E8B" w:rsidRPr="00F62A26" w:rsidRDefault="00A93E8B" w:rsidP="00B852B2">
      <w:pPr>
        <w:pStyle w:val="ListParagraph"/>
        <w:numPr>
          <w:ilvl w:val="0"/>
          <w:numId w:val="11"/>
        </w:numPr>
        <w:ind w:left="1120"/>
      </w:pPr>
      <w:r w:rsidRPr="00F62A26">
        <w:t>Best practice from around the UK (</w:t>
      </w:r>
      <w:proofErr w:type="spellStart"/>
      <w:r w:rsidRPr="00F62A26">
        <w:t>eg</w:t>
      </w:r>
      <w:proofErr w:type="spellEnd"/>
      <w:r w:rsidRPr="00F62A26">
        <w:t xml:space="preserve"> Croydon Social Value Toolkit; Oldham Social Value Procurement Framework) with Michele Lawty-Jones to take the lead</w:t>
      </w:r>
    </w:p>
    <w:p w:rsidR="00A93E8B" w:rsidRPr="00F62A26" w:rsidRDefault="00A93E8B" w:rsidP="00A93E8B">
      <w:pPr>
        <w:pStyle w:val="ListParagraph"/>
        <w:ind w:left="760" w:firstLine="0"/>
      </w:pPr>
    </w:p>
    <w:p w:rsidR="00A93E8B" w:rsidRPr="00F62A26" w:rsidRDefault="00A93E8B" w:rsidP="00A93E8B">
      <w:pPr>
        <w:pStyle w:val="ListParagraph"/>
        <w:ind w:left="760" w:firstLine="0"/>
      </w:pPr>
      <w:r w:rsidRPr="00F62A26">
        <w:t xml:space="preserve">The above </w:t>
      </w:r>
      <w:r w:rsidR="00FE012D" w:rsidRPr="00F62A26">
        <w:t xml:space="preserve">is </w:t>
      </w:r>
      <w:r w:rsidRPr="00F62A26">
        <w:t xml:space="preserve">to be brought </w:t>
      </w:r>
      <w:r w:rsidRPr="00B852B2">
        <w:t xml:space="preserve">together into the Toolkit aligned with the emerging Lancashire Skills and Employment Framework by a small working group comprising Alison Moore, Michele Lawty-Jones and Graham </w:t>
      </w:r>
      <w:proofErr w:type="spellStart"/>
      <w:r w:rsidRPr="00B852B2">
        <w:t>Cowley</w:t>
      </w:r>
      <w:proofErr w:type="spellEnd"/>
      <w:r w:rsidRPr="00B852B2">
        <w:t xml:space="preserve"> with a representative from the Monitoring and Evaluation Sub-Committee. The intention will be to report the draft Toolkit to the December</w:t>
      </w:r>
      <w:r w:rsidRPr="00F62A26">
        <w:t xml:space="preserve"> GDMB meeting.</w:t>
      </w:r>
    </w:p>
    <w:p w:rsidR="00A93E8B" w:rsidRPr="00F62A26" w:rsidRDefault="00A93E8B" w:rsidP="00A93E8B">
      <w:pPr>
        <w:pStyle w:val="ListParagraph"/>
        <w:ind w:firstLine="0"/>
      </w:pPr>
    </w:p>
    <w:p w:rsidR="00B47354" w:rsidRPr="00F62A26" w:rsidRDefault="00935DCE" w:rsidP="00B852B2">
      <w:pPr>
        <w:pStyle w:val="ListParagraph"/>
        <w:numPr>
          <w:ilvl w:val="1"/>
          <w:numId w:val="4"/>
        </w:numPr>
      </w:pPr>
      <w:r w:rsidRPr="00F62A26">
        <w:t>As well as helping increase potential benefits from existing projects, it is hoped that the Toolkit will be used for business case development on all future projects.</w:t>
      </w:r>
    </w:p>
    <w:sectPr w:rsidR="00B47354" w:rsidRPr="00F62A26" w:rsidSect="00A3573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E8B" w:rsidRDefault="00A93E8B" w:rsidP="00CF1133">
      <w:pPr>
        <w:spacing w:after="0" w:line="240" w:lineRule="auto"/>
      </w:pPr>
      <w:r>
        <w:separator/>
      </w:r>
    </w:p>
  </w:endnote>
  <w:endnote w:type="continuationSeparator" w:id="0">
    <w:p w:rsidR="00A93E8B" w:rsidRDefault="00A93E8B" w:rsidP="00CF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E8B" w:rsidRDefault="00A93E8B" w:rsidP="00CF1133">
      <w:pPr>
        <w:spacing w:after="0" w:line="240" w:lineRule="auto"/>
      </w:pPr>
      <w:r>
        <w:separator/>
      </w:r>
    </w:p>
  </w:footnote>
  <w:footnote w:type="continuationSeparator" w:id="0">
    <w:p w:rsidR="00A93E8B" w:rsidRDefault="00A93E8B" w:rsidP="00CF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E8B" w:rsidRDefault="00A93E8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3E42"/>
    <w:multiLevelType w:val="hybridMultilevel"/>
    <w:tmpl w:val="78549FEA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065C21A1"/>
    <w:multiLevelType w:val="hybridMultilevel"/>
    <w:tmpl w:val="A6AEFAAA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0E41145A"/>
    <w:multiLevelType w:val="hybridMultilevel"/>
    <w:tmpl w:val="E4BEFB56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 w15:restartNumberingAfterBreak="0">
    <w:nsid w:val="1019394B"/>
    <w:multiLevelType w:val="hybridMultilevel"/>
    <w:tmpl w:val="E8E42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C8060EF"/>
    <w:multiLevelType w:val="hybridMultilevel"/>
    <w:tmpl w:val="EFB0C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2473D4"/>
    <w:multiLevelType w:val="hybridMultilevel"/>
    <w:tmpl w:val="0BBA2C0C"/>
    <w:lvl w:ilvl="0" w:tplc="25E66E96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D16A729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AC46BD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AA109270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3E72047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EF6384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92CDE8E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836C3D1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25B0575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7" w15:restartNumberingAfterBreak="0">
    <w:nsid w:val="302951F4"/>
    <w:multiLevelType w:val="multilevel"/>
    <w:tmpl w:val="DEEED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AF671DD"/>
    <w:multiLevelType w:val="hybridMultilevel"/>
    <w:tmpl w:val="E6526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0" w15:restartNumberingAfterBreak="0">
    <w:nsid w:val="71226A23"/>
    <w:multiLevelType w:val="hybridMultilevel"/>
    <w:tmpl w:val="1F8A4338"/>
    <w:lvl w:ilvl="0" w:tplc="0409000F">
      <w:start w:val="1"/>
      <w:numFmt w:val="decimal"/>
      <w:lvlText w:val="%1.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" w15:restartNumberingAfterBreak="0">
    <w:nsid w:val="7A107D1B"/>
    <w:multiLevelType w:val="hybridMultilevel"/>
    <w:tmpl w:val="A5B831A0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11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133"/>
    <w:rsid w:val="00094697"/>
    <w:rsid w:val="000D2752"/>
    <w:rsid w:val="00113335"/>
    <w:rsid w:val="00145322"/>
    <w:rsid w:val="001F5AEF"/>
    <w:rsid w:val="002154A9"/>
    <w:rsid w:val="00284E9F"/>
    <w:rsid w:val="002B49F2"/>
    <w:rsid w:val="002E69BD"/>
    <w:rsid w:val="003518A8"/>
    <w:rsid w:val="0035233C"/>
    <w:rsid w:val="003A05D1"/>
    <w:rsid w:val="003B18C2"/>
    <w:rsid w:val="004176B4"/>
    <w:rsid w:val="00497093"/>
    <w:rsid w:val="005037B7"/>
    <w:rsid w:val="005206EF"/>
    <w:rsid w:val="005D7059"/>
    <w:rsid w:val="0063204E"/>
    <w:rsid w:val="006C0636"/>
    <w:rsid w:val="00727978"/>
    <w:rsid w:val="007A7CEE"/>
    <w:rsid w:val="007D5F5A"/>
    <w:rsid w:val="00807840"/>
    <w:rsid w:val="008303B3"/>
    <w:rsid w:val="0084500A"/>
    <w:rsid w:val="00870C84"/>
    <w:rsid w:val="008C58F6"/>
    <w:rsid w:val="008D7B94"/>
    <w:rsid w:val="008E6AFA"/>
    <w:rsid w:val="008F4650"/>
    <w:rsid w:val="009139A5"/>
    <w:rsid w:val="00935DCE"/>
    <w:rsid w:val="0096218F"/>
    <w:rsid w:val="00984286"/>
    <w:rsid w:val="00A3358A"/>
    <w:rsid w:val="00A35735"/>
    <w:rsid w:val="00A93E8B"/>
    <w:rsid w:val="00B13ACE"/>
    <w:rsid w:val="00B25A7B"/>
    <w:rsid w:val="00B439EA"/>
    <w:rsid w:val="00B47354"/>
    <w:rsid w:val="00B75823"/>
    <w:rsid w:val="00B852B2"/>
    <w:rsid w:val="00BC4466"/>
    <w:rsid w:val="00BE3AA8"/>
    <w:rsid w:val="00BE3BFC"/>
    <w:rsid w:val="00C52160"/>
    <w:rsid w:val="00CD3B45"/>
    <w:rsid w:val="00CF1133"/>
    <w:rsid w:val="00D36182"/>
    <w:rsid w:val="00D7480F"/>
    <w:rsid w:val="00E60319"/>
    <w:rsid w:val="00F01FE2"/>
    <w:rsid w:val="00F41096"/>
    <w:rsid w:val="00F44106"/>
    <w:rsid w:val="00F62A26"/>
    <w:rsid w:val="00F95887"/>
    <w:rsid w:val="00FD7466"/>
    <w:rsid w:val="00FE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E9DEF-5493-4D89-97E8-20B131E7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441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.lawty-jones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EDCF4-1816-4921-9AC1-8DB1FA68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Molloy, Kathryn</dc:creator>
  <cp:keywords/>
  <dc:description/>
  <cp:lastModifiedBy>Neville, Mike</cp:lastModifiedBy>
  <cp:revision>18</cp:revision>
  <dcterms:created xsi:type="dcterms:W3CDTF">2015-10-05T07:11:00Z</dcterms:created>
  <dcterms:modified xsi:type="dcterms:W3CDTF">2015-10-15T14:11:00Z</dcterms:modified>
</cp:coreProperties>
</file>